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/>
      <w:bookmarkStart w:id="0" w:name="_heading=h.1fob9te"/>
      <w:r/>
      <w:bookmarkEnd w:id="0"/>
      <w:r>
        <w:rPr>
          <w:rtl w:val="false"/>
        </w:rPr>
      </w:r>
      <w:r/>
    </w:p>
    <w:tbl>
      <w:tblPr>
        <w:tblStyle w:val="751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19812 «Электромонтажник по силовым сетям и электрооборудованию»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19812 «Электромонтажник по силовым сетям и электрооборудованию»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</w:pPr>
      <w:r>
        <w:rPr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</w:t>
      </w:r>
      <w:r>
        <w:rPr>
          <w:rtl w:val="false"/>
        </w:rPr>
        <w:t xml:space="preserve">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«Электромонтаж».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</w:pPr>
      <w:r>
        <w:rPr>
          <w:rtl w:val="false"/>
        </w:rPr>
        <w:t xml:space="preserve">- спецификацией стандартов Ворлдскиллс по компетенции «Электромонтаж»;</w:t>
      </w:r>
      <w:r/>
    </w:p>
    <w:p>
      <w:pPr>
        <w:ind w:firstLine="993"/>
        <w:jc w:val="both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профессиональным стандартом 16.090 «Электромонтажник домовых электрических систем и оборудования» (утвержден приказом Министерства труда и социальной защиты Российской Федерации от 21.12.15 № 1073н);</w:t>
      </w:r>
      <w:r/>
    </w:p>
    <w:p>
      <w:pPr>
        <w:ind w:firstLine="992"/>
        <w:keepLines/>
        <w:keepNext/>
        <w:shd w:val="clear" w:color="auto" w:fill="ffffff"/>
        <w:rPr>
          <w:color w:val="000000"/>
        </w:rPr>
      </w:pPr>
      <w:r>
        <w:rPr>
          <w:color w:val="000000"/>
          <w:rtl w:val="false"/>
        </w:rPr>
        <w:t xml:space="preserve">-  профессиональным стандартом 16.108 "Электромонтажник" (утвержден приказом Министерства труда и социальной защиты Российской Федерации от 18.01.17 №50н)</w:t>
      </w:r>
      <w:r/>
    </w:p>
    <w:p>
      <w:pPr>
        <w:ind w:firstLine="993"/>
        <w:jc w:val="both"/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обучение»,</w:t>
      </w:r>
      <w:r/>
    </w:p>
    <w:p>
      <w:pPr>
        <w:ind w:firstLine="993"/>
        <w:jc w:val="both"/>
      </w:pPr>
      <w:r>
        <w:rPr>
          <w:rtl w:val="false"/>
        </w:rPr>
        <w:t xml:space="preserve">- единым тарифно-квалификационным справочником работ и профессий рабочих.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</w:t>
      </w:r>
      <w:r>
        <w:rPr>
          <w:color w:val="000000"/>
          <w:rtl w:val="false"/>
        </w:rPr>
        <w:t xml:space="preserve">о на вакансии в организации, самозанятость, работа в качестве индивидуального предпринимателя): электромонтажник, электромонтер в организациях, индивидуальный предприниматель, самозанятый, электромонтажник щитов автоматического управления, сетей освещения.</w:t>
      </w:r>
      <w:r>
        <w:rPr>
          <w:rtl w:val="false"/>
        </w:rPr>
      </w:r>
      <w:r/>
    </w:p>
    <w:p>
      <w:pPr>
        <w:ind w:left="1713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2"/>
        </w:numPr>
        <w:ind w:left="1713" w:hanging="719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спецификацию стандарта Ворлдскиллс по компетенции «Электромонтаж»;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требования охраны труда и техники безопасности;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опасность поражения электрическим током;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принципы безопасной работы с электроустановками;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планирования рабочего процесса;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новые технологии в электромонтаже;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условные изображения на чертежах и схемах;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методики проведения испытаний;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инструменты и оборудование для проведения электромонтажных работ;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проводов и кабелей и способы их монтажа;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электротехники;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аппараты защиты и их характеристики;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типы щитов;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различные кабеленесущие системы;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программируемых реле;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виды неисправностей в распределительных щитах;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эксплуатационную документацию при обслуживании электроустановок;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системы автоматического управления, основы программирования.</w:t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уметь: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организовывать рабочее место для максимально эффективной работы;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правильно выбирать, применять, очищать и хранить все инструменты, материалы и оборудование безопасным способом;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читать, понимать схемы, чертежи и документацию, планировать монтажные работы, используя предоставленные чертежи и документацию;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осуществлять визуальный осмотр, поиск неисправностей;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понимать диапазон использования различных видов электропроводок и кабеленесущих систем, электрических систем освещения, контрольно-регулирующие приборы;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коммутировать проводники внутри щитов и боксов в соответствии с электрическими схемами, подключать оборудование в соответствие с инструкциями согласно действующих стандартов и правил, и инструкций изготовителя;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монтировать провода и кабели;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приборами для проверки электрических величин;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приборы учета электрической энергии;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элементы управления и нагрузки;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ручным и электрифицированным инструментом;</w:t>
      </w:r>
      <w:r/>
    </w:p>
    <w:p>
      <w:pPr>
        <w:ind w:firstLine="993"/>
        <w:jc w:val="both"/>
      </w:pPr>
      <w:r>
        <w:rPr>
          <w:rtl w:val="false"/>
        </w:rPr>
        <w:t xml:space="preserve">настраивать и программировать различные технологические процессы с применением программируемых логических реле.</w:t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851"/>
        <w:jc w:val="both"/>
      </w:pPr>
      <w:r>
        <w:rPr>
          <w:rtl w:val="false"/>
        </w:rPr>
        <w:t xml:space="preserve">Категория слушателей: лица, имеющие профессию рабочего, профессии рабочих или должность служащего, должности служащих.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  <w:t xml:space="preserve">Трудоемкость обучения: 144 академических часа.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tbl>
      <w:tblPr>
        <w:tblStyle w:val="752"/>
        <w:tblW w:w="986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30"/>
        <w:gridCol w:w="2847"/>
        <w:gridCol w:w="940"/>
        <w:gridCol w:w="984"/>
        <w:gridCol w:w="1316"/>
        <w:gridCol w:w="1667"/>
        <w:gridCol w:w="1177"/>
        <w:tblGridChange w:id="1">
          <w:tblGrid>
            <w:gridCol w:w="930"/>
            <w:gridCol w:w="2847"/>
            <w:gridCol w:w="940"/>
            <w:gridCol w:w="984"/>
            <w:gridCol w:w="1316"/>
            <w:gridCol w:w="1667"/>
            <w:gridCol w:w="1177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719"/>
                <w:b/>
                <w:color w:val="000000"/>
                <w:rtl w:val="false"/>
              </w:rPr>
              <w:footnoteReference w:id="2"/>
            </w:r>
            <w:r>
              <w:rPr>
                <w:b/>
                <w:color w:val="000000"/>
                <w:rtl w:val="false"/>
              </w:rPr>
              <w:t xml:space="preserve">:</w:t>
            </w:r>
            <w:r/>
          </w:p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- проверка теоретических знаний;</w:t>
            </w:r>
            <w:r/>
          </w:p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- практическая квалификационная работа (демонстрационный экзамен)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Учебно-тематический план 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tbl>
      <w:tblPr>
        <w:tblStyle w:val="753"/>
        <w:tblW w:w="985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39"/>
        <w:gridCol w:w="3243"/>
        <w:gridCol w:w="1014"/>
        <w:gridCol w:w="898"/>
        <w:gridCol w:w="1009"/>
        <w:gridCol w:w="1252"/>
        <w:gridCol w:w="1198"/>
        <w:tblGridChange w:id="2">
          <w:tblGrid>
            <w:gridCol w:w="1239"/>
            <w:gridCol w:w="3243"/>
            <w:gridCol w:w="1014"/>
            <w:gridCol w:w="898"/>
            <w:gridCol w:w="1009"/>
            <w:gridCol w:w="1252"/>
            <w:gridCol w:w="1198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Техническое описание компетенции «Электромонтаж». Разделы WSSS.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Основные электрические величины, их измерение. Приборы для измерения электрических величин, правила их включения в цепь.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Классификация щитов и боксов. Типы и характеристики аппаратов защиты.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Характеристики проводов и кабелей, применяемых для монтажа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и методика испытаний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Основы безопасной работы с электроустановками. Средства индивидуальные защиты. Опасные факторы при проведении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Современное оборудование, материалы и инструменты для проведения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щитов управления с использованием программируемых логических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 на бумажном носителе (Приложение 3)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>
              <w:rPr>
                <w:b/>
                <w:i/>
                <w:color w:val="000000"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проволочного лотка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кабельных каналов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гофрированных и жестких труб ПВХ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color w:val="000000"/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управления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нагрузки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сигнализации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управления. Подключение.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нагрузки.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сигнализации.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Проведение испытаний электроустановки. Замер сопротивления изоляции, заземляющего проводника. Заполнение отчета.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неисправностей и методы их поиска.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Поиск неисправностей на учебном стенде с использованием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Программное обеспечение для разработки и отладки прикладных программ с использованием графического языка диаграмм функциональных блоков  FBD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Обзор основных блоков и их применение в прикладной программе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алгоритмов с использованием интерактивных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Практическая квалификационная работа: демонстрационный экзамен по компетенции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«Стандарты Ворлдскиллс и спецификация стандартов Ворлдскиллс по компетенции «Электромонтаж». Разделы спецификации» 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«Актуальное техническое описание по компетенции. Спецификация стандарта Ворлдскиллс по компетенции».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2. Актуальные требования рынка труда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«Актуальная ситуация на региональном рынке труда»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Промежуточный контроль. Зачет.</w:t>
      </w:r>
      <w:r/>
    </w:p>
    <w:p>
      <w:pPr>
        <w:ind w:firstLine="851"/>
        <w:jc w:val="both"/>
      </w:pPr>
      <w:r>
        <w:rPr>
          <w:rtl w:val="false"/>
        </w:rPr>
        <w:t xml:space="preserve">Тема «Регистрация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«Налог на профессиональный доход – особый режим налогообложения для самозанятых граждан»</w:t>
      </w:r>
      <w:r/>
    </w:p>
    <w:p>
      <w:pPr>
        <w:ind w:firstLine="851"/>
        <w:jc w:val="both"/>
      </w:pPr>
      <w:r>
        <w:rPr>
          <w:rtl w:val="false"/>
        </w:rPr>
        <w:t xml:space="preserve">Тема «Работа в качестве самозанятого»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«Основы электротехники»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«Основные электрические величины, их измерение. Приборы для измерения электрических величин, правила их включения в цепь»</w:t>
      </w:r>
      <w:r>
        <w:rPr>
          <w:rtl w:val="false"/>
        </w:rPr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Сопротивление изоляции и проводников. Напряжение и род тока. Сила тока. Токи короткого замыкания. Основные законы электротехники.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«Классификация щитов и боксов. Типы и характеристики аппаратов защиты»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rtl w:val="false"/>
        </w:rPr>
        <w:t xml:space="preserve"> Виды щитов (учетно-распределительные, этажные, силовые, пластиковые, металлические), IP характеристики, способ монтажа (ДИН-рейки, монтажные панели). Автоматические выключатели (B,C,D характеристики), вставки плавкие.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«Характеристики проводов и кабелей, применяемых для монтажа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Типы проводов и кабелей, аббревиатуры, сечения, материалы и сопротивление проводников, способы соединений и коммутации.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и методика испытаний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Сопротивление изоляции, петля «фаза-нуль», «металлосвязь», проверка работоспособности автоматических выключателей, УЗО и периодичность их проверки.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Сопротивление изоляции и проводников, напр</w:t>
      </w:r>
      <w:r>
        <w:rPr>
          <w:rtl w:val="false"/>
        </w:rPr>
        <w:t xml:space="preserve">яжение и ток, токи короткого замыкания, автоматические выключатели (B,C,D характеристики), типы проводов и кабелей, аббревиатуры, сечения, материалы и сопротивление проводников, способы соединений, сопротивление изоляции, петля «фаза-нуль», «металлосвязь».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«Требования охраны труда и техники безопасности»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«Основы безопасной работы с электроустановками. Средства индивидуальные защиты. Опасные факторы при проведении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Действие электрического тока на человека. Пути тока через организм. Последствия воздействия тока на организм человека. Основные и дополнительные средства защиты их применение и испытания. Опасные и вредные факторы при выполнении заданий программы.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Действие электрического тока на человека. пути тока через человека, последствия воздействия тока, основные и дополнительные средства защиты их применение и испытания, опасные и вредные факторы.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«Современные технологии в профессиональной сфере»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«Современное оборудование, материалы и инструменты для проведения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Обзор различных кабеленесущих систем, способы монтажа, организация поворотов, опусков, стыковок. Обзор инструментов для разрезки, зачистки, опрессовки проводов и кабелей. Датчики движения, звука, освещенности. Переключатели, импульсные реле.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«Технология коммутации щитов управления с использованием программируемых логических реле»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Принципы построения сетей с использованием программируемых </w:t>
      </w:r>
      <w:r>
        <w:rPr>
          <w:rtl w:val="false"/>
        </w:rPr>
        <w:t xml:space="preserve">логических реле. Преимущества и недостатки. Гибкость настройки. Возможность оперативного изменения параметров. Пример использования современных технологий: «Принципиальная схема реверсивного пуска двигателя с применением программируемого логического реле».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Слушателю необходимо продемонстрировать усвоение материала: Коммутация современного оборудования (датчик</w:t>
      </w:r>
      <w:r>
        <w:rPr>
          <w:rtl w:val="false"/>
        </w:rPr>
        <w:t xml:space="preserve">и движения, звука, освещенности), принцип работы переключателей (проходной, промежуточный), принцип работы импульсного реле, принцип коммутации программируемых логических реле.  В качестве проверочного материала рекомендуется использовать бумажные шаблоны.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2. Профессиональный курс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firstLine="851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Коммутация распределительных коробок с использованием шаблонов.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План проведения занятия: На предложенном бумажном шаблоне (Приложение 3) необходимо провести коммутацию распределительных коробок в соответствии с принципиальной схемой. 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Монтаж кабеленесущих систем.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проволочного лотка»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повороты, заземление.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проволочного лотка.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 кронштейнов, саморезов, крепежных элементов. Нарезка лотка в размер, монтаж кронштейнов, крепление лотка, заземление.</w:t>
      </w:r>
      <w:r>
        <w:rPr>
          <w:i/>
          <w:rtl w:val="false"/>
        </w:rPr>
        <w:t xml:space="preserve">  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кабельных каналов»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кабельных каналов.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Нарезка кабельных каналов в размер, установка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гофрированных и жестких труб ПВХ»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гофрированных и жестких труб ПВХ.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крепежных элементов, нарезка и гибка  труб в размер, установка труб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проволочного лотка, Разметка и монтаж кабельных каналов, разметка и монтаж гофрированных и жестких труб ПВХ.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2. Монтаж элементов управления, нагрузки и сигнализации.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управления»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нагрузки»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нагрузки.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сигнализации»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сигнализации.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элементов управления, разметка и монтаж элементов нагрузки, разметка и монтаж элементов сигнализации.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3. Монтаж проводов и кабелей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управления»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цепи управления.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нагрузки» 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нагрузки. Инструменты и расходные материалы для зачистки, обрезки, опрессовки проводов, подключение, маркировка.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сигнализации»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сигнализации.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Выбор, монтаж и подключение проводников к элементам управления, нагрузки, сигнализации.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Монтаж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</w:t>
      </w:r>
      <w:r>
        <w:rPr>
          <w:rtl w:val="false"/>
        </w:rPr>
        <w:t xml:space="preserve">абочего места, инструментов, материалов, оборудования, коммутация щита управления двигателем по принципиальной схеме с использованием шаблонов,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Монтаж и коммутация щита управления двигателем с использованием программируемого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</w:t>
      </w:r>
      <w:r>
        <w:rPr>
          <w:rtl w:val="false"/>
        </w:rPr>
        <w:t xml:space="preserve">а рабочего места, инструментов, материалов, оборудования, коммутация щита управления двигателем с использованием шаблонов на бумажном носителе,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Монтаж и коммутация щита управления освещением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с использованием шаблонов, размещение оборудования в щите управления освещением, выбор проводников и коммутация щита управления освещением.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Монтаж и коммутация щита управления освещением с использованием программируемого логического реле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 на бумажном носителе.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по принципиальной схеме с использованием шаблонов на бумажном носителе,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Проведение испытаний и заполнение отчета.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«Проведение испытаний электроустановки. Замер сопротивления изоляции, заземляющего проводника. Заполнение отчета»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Ознакомление с прибором для испытаний, установка параметров, точки измерений. Заполнение отчета и  анализ полученных данных.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Проведение испытаний электроустановки. Замер сопротивления изоляции, заземляющего проводника. Заполнение отчета.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мегомметра, омметра. Замер в контрольных точках. Запись значений в отчет. Анализ полученных данных.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Проведение испытаний электроустановки. Замер сопротивления изоляции, заземляющего проводника.</w:t>
      </w:r>
      <w:r/>
    </w:p>
    <w:p>
      <w:pPr>
        <w:ind w:firstLine="851"/>
        <w:jc w:val="both"/>
      </w:pP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Поиск неисправностей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неисправностей и методы их поиска»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Ознакомление с оборудованием, установленным в щите. Алгоритм работы исправного щита. Возможные неисправности. Приборы для диагностики. Алгоритм поиска неисправностей.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Поиск неисправностей на учебном стенде с использованием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инструментов. Визуальный осмотр. Поиск неисправностей и несоответствий.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Поиск неисправностей на учебном стенде с использованием принципиальной схемы. Найдено более 50% неисправностей –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Программирование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«Программное обеспечение для разработки и отладки прикладных программ с использованием графического языка диаграмм функциональных блоков  FBD»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Установка прикладной программы на компьютер. Обзор интерфейса. Подключение компьютера к программируемому логическому реле.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«Обзор основных блоков и их применение в прикладной программе»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Основные используемые блоки. Свойства блоков. Соединение блоков. Функции блоков. Связки блоков. Открытие и сохранение программы. Режим симулятора. Мастер класс «Пошаговое созданию прикладной программы по заданному алгоритму»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Программирование алгоритмов с использованием интерактивных стендов.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Создание прикладных программ по заданным алгоритмам. Отладка программ. Загрузка и проверка программ на интерактивном стенде.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 заданному алгоритму необходимо создать программу управления логическим реле, загрузить в стенд и проверить корректность работы.</w:t>
      </w:r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754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ind w:firstLine="851"/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2 к программе.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https://worldskills.ru. </w:t>
      </w:r>
      <w:r/>
    </w:p>
    <w:p>
      <w:pPr>
        <w:ind w:left="851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</w:pPr>
      <w:r>
        <w:rPr>
          <w:rtl w:val="fals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55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4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/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lef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1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57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5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58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, Приложение 4 «Поиск неисправностей»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2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59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521"/>
        <w:gridCol w:w="2410"/>
        <w:gridCol w:w="2551"/>
        <w:gridCol w:w="1134"/>
        <w:gridCol w:w="1134"/>
        <w:tblGridChange w:id="7">
          <w:tblGrid>
            <w:gridCol w:w="564"/>
            <w:gridCol w:w="2521"/>
            <w:gridCol w:w="2410"/>
            <w:gridCol w:w="2551"/>
            <w:gridCol w:w="1134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Рабочее место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Рабочая поверхность с жестким креплением на стену или рабочая кабинка с характеристаки не менее НЧ РФ2019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Размеры: не менее 1500 мм x 1500 мм, толщина листов не менее 18мм, материал фанера или ДСП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освещение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Г-1 300лк.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Освещение рабочей поверхности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Г-1 400лк.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Покрытие пола на посту 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ковролин, должно легко подметаться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Переносная розетка  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U=380В, с защитой от токов КЗ и перегрузки, 3Р, С25 (проводник не менее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(вводное) УЗО, 3Р, С40, 300 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2-х местная, с зазем/конт,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С16, 30мА (проводник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Верстак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ширина от 600 мм, длина от 1400 мм, высота 800-900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материалов (пластиковый короб)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 (В,Ш,Д)   от 400x300х500мм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Корзина для мусора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Диэлектрический коврик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менее 500х500мм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Веник и совок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Стусло поворотное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Стремянка или подмости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Инструментальная тележка трех ярусная открытая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0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521"/>
        <w:gridCol w:w="2410"/>
        <w:gridCol w:w="2551"/>
        <w:gridCol w:w="993"/>
        <w:gridCol w:w="1134"/>
        <w:tblGridChange w:id="8">
          <w:tblGrid>
            <w:gridCol w:w="564"/>
            <w:gridCol w:w="2521"/>
            <w:gridCol w:w="2410"/>
            <w:gridCol w:w="2551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Инструмент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Пояс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Пассатижи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Боковые кусачки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Устройство для снятия изоляции 0,2-6мм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Нож для резки и зачистки кабеля с ручкой, с фиксатором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отверток плоских, крестовых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Мультиметр универсальный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20-40см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150см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Молоток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бит для шуруповерта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сверл, D= 1-10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Струбцина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Напильник плоский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Рулетка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Карандаш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Резинка стирательная большая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Маркеры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Круглогубцы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Торцевой ключ и сменные головки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Шуруповерт аккумуляторный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Клещи обжимные  0,5-6,0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Кусачки арматурные (болторез)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Кисть малярная (для уборки стружки)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Пружина стальная для изгиба жестких ПВХ труб д.16мм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1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27"/>
        <w:gridCol w:w="2409"/>
        <w:gridCol w:w="2835"/>
        <w:gridCol w:w="993"/>
        <w:gridCol w:w="1134"/>
        <w:tblGridChange w:id="9">
          <w:tblGrid>
            <w:gridCol w:w="675"/>
            <w:gridCol w:w="2127"/>
            <w:gridCol w:w="2409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Программирование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Рабочий стол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(ШхГхВ) от 1400х600х750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 местным условиям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Стул жесткий на вес 100 кг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 с ПО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 ПО для программируемого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Проверочный стенд в составе: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Жесткое основание для установки оборудования модуля (Фанера, ДСП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Пример стенда в приложении к экзаменационному заданию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пластиковый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12 модулей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С10, 30мА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реле(220)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230В/24В, 8 входов, 4 выхода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рабочего напряжения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(трансформатор)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1НО,1НЗ с самовозвратом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Выключатель/переключатель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 с фиксацией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индикаторная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ПВ3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гильза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количество 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2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379"/>
        <w:gridCol w:w="2268"/>
        <w:gridCol w:w="2835"/>
        <w:gridCol w:w="993"/>
        <w:gridCol w:w="1134"/>
        <w:tblGridChange w:id="10">
          <w:tblGrid>
            <w:gridCol w:w="564"/>
            <w:gridCol w:w="2379"/>
            <w:gridCol w:w="2268"/>
            <w:gridCol w:w="2835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Лоток проволочный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35х100мм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Кронштейн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100-150 мм.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Соединительный крепеж лотка и кронштейна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Заглушка для кабельного канала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60х40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Гофротруба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для кнопок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(от 150х70х65мм)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три кнопки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Красная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Зеленая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 концевой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Патрон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60Вт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накаливания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не более 40Вт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вилка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розетка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металический с монтажной панелью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(500х400х220мм) ЩМП 2.0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Перфорированный кабель-канал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25х60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Кросс-модуль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Дин-рейку, 2х7 (N+PE)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3Р, 16А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Звонок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для пуска, остановки и реверсирования асинхронных электродвигателей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4НО, Iном 25А, катушка 230В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Механическая блокировка контакторов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Дополнительные контакты для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2НО+2НЗ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электротепловое для защиты электродвигателей от перегрузки, асимметрии фаз, затянутого пуска и заклинивания ротора.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Установка в контактор, диапазон тока 1,5-2,5А, кнопка "тест"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Электродвигатель асинхронный трехфазный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380В 0,12кВт 1500об/мин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металл с пером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универсальные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Шайба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4х12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для крепления кронштейнов лотка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XP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3х1,5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HL1,2.3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2х1,5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SQ1,2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4х2,5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XS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1х6 (желто-зеленый)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PE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ПВ1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(синий)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изолированный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НКИ5,5-5 кольцо 4-6мм2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1х1,5мм2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2х1,5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1х2,5мм2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2х2,5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Хомуты-стяжки нейлон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25А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дифференциального тока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16А, 30мА,  6кА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модульный 2 НО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Напряжение катушки 230В, 20А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выключение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выключения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Импульсное реле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логическое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 Входов, 6 Выходов (12-24В или 230В)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для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синий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3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2515" cy="5852795"/>
                <wp:effectExtent l="0" t="0" r="0" b="0"/>
                <wp:docPr id="1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152515" cy="5852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4pt;height:460.8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1155" cy="4348098"/>
                <wp:effectExtent l="0" t="0" r="0" b="0"/>
                <wp:docPr id="2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5941155" cy="4348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42.4pt;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7"/>
        <w:jc w:val="both"/>
        <w:rPr>
          <w:highlight w:val="none"/>
        </w:rPr>
      </w:pPr>
      <w:r>
        <w:rPr>
          <w:rStyle w:val="719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3"/>
    <w:link w:val="6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3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3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3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3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3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93"/>
    <w:link w:val="697"/>
    <w:uiPriority w:val="10"/>
    <w:rPr>
      <w:sz w:val="48"/>
      <w:szCs w:val="48"/>
    </w:rPr>
  </w:style>
  <w:style w:type="character" w:styleId="35">
    <w:name w:val="Subtitle Char"/>
    <w:basedOn w:val="693"/>
    <w:link w:val="750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3"/>
    <w:link w:val="40"/>
    <w:uiPriority w:val="99"/>
  </w:style>
  <w:style w:type="paragraph" w:styleId="42">
    <w:name w:val="Footer"/>
    <w:basedOn w:val="68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3"/>
    <w:link w:val="42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17"/>
    <w:uiPriority w:val="99"/>
    <w:rPr>
      <w:sz w:val="18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3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77">
    <w:name w:val="Normal"/>
  </w:style>
  <w:style w:type="paragraph" w:styleId="679">
    <w:name w:val="Heading 1"/>
    <w:basedOn w:val="677"/>
    <w:next w:val="67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80">
    <w:name w:val="Heading 2"/>
    <w:basedOn w:val="677"/>
    <w:next w:val="677"/>
    <w:pPr>
      <w:keepLines/>
      <w:keepNext/>
      <w:spacing w:before="360" w:after="80"/>
    </w:pPr>
    <w:rPr>
      <w:b/>
      <w:sz w:val="36"/>
      <w:szCs w:val="36"/>
    </w:rPr>
  </w:style>
  <w:style w:type="paragraph" w:styleId="681">
    <w:name w:val="Heading 3"/>
    <w:basedOn w:val="677"/>
    <w:next w:val="677"/>
    <w:pPr>
      <w:keepLines/>
      <w:keepNext/>
      <w:spacing w:before="280" w:after="80"/>
    </w:pPr>
    <w:rPr>
      <w:b/>
      <w:sz w:val="28"/>
      <w:szCs w:val="28"/>
    </w:rPr>
  </w:style>
  <w:style w:type="paragraph" w:styleId="682">
    <w:name w:val="Heading 4"/>
    <w:basedOn w:val="677"/>
    <w:next w:val="677"/>
    <w:pPr>
      <w:keepLines/>
      <w:keepNext/>
      <w:spacing w:before="240" w:after="40"/>
    </w:pPr>
    <w:rPr>
      <w:b/>
    </w:rPr>
  </w:style>
  <w:style w:type="paragraph" w:styleId="683">
    <w:name w:val="Heading 5"/>
    <w:basedOn w:val="677"/>
    <w:next w:val="677"/>
    <w:pPr>
      <w:keepLines/>
      <w:keepNext/>
      <w:spacing w:before="220" w:after="40"/>
    </w:pPr>
    <w:rPr>
      <w:b/>
      <w:sz w:val="22"/>
      <w:szCs w:val="22"/>
    </w:rPr>
  </w:style>
  <w:style w:type="paragraph" w:styleId="684">
    <w:name w:val="Heading 6"/>
    <w:basedOn w:val="677"/>
    <w:next w:val="677"/>
    <w:pPr>
      <w:keepLines/>
      <w:keepNext/>
      <w:spacing w:before="200" w:after="40"/>
    </w:pPr>
    <w:rPr>
      <w:b/>
      <w:sz w:val="20"/>
      <w:szCs w:val="20"/>
    </w:rPr>
  </w:style>
  <w:style w:type="paragraph" w:styleId="685">
    <w:name w:val="Title"/>
    <w:basedOn w:val="677"/>
    <w:next w:val="677"/>
    <w:pPr>
      <w:keepLines/>
      <w:keepNext/>
      <w:spacing w:before="480" w:after="120"/>
    </w:pPr>
    <w:rPr>
      <w:b/>
      <w:sz w:val="72"/>
      <w:szCs w:val="72"/>
    </w:rPr>
  </w:style>
  <w:style w:type="paragraph" w:styleId="686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87">
    <w:name w:val="Heading 1"/>
    <w:basedOn w:val="686"/>
    <w:link w:val="716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688">
    <w:name w:val="Heading 2"/>
    <w:basedOn w:val="686"/>
    <w:next w:val="68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9">
    <w:name w:val="Heading 3"/>
    <w:basedOn w:val="686"/>
    <w:next w:val="68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0">
    <w:name w:val="Heading 4"/>
    <w:basedOn w:val="686"/>
    <w:next w:val="68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91">
    <w:name w:val="Heading 5"/>
    <w:basedOn w:val="686"/>
    <w:next w:val="68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92">
    <w:name w:val="Heading 6"/>
    <w:basedOn w:val="686"/>
    <w:next w:val="68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7">
    <w:name w:val="Title"/>
    <w:basedOn w:val="686"/>
    <w:next w:val="68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00">
    <w:name w:val="List Paragraph"/>
    <w:basedOn w:val="686"/>
    <w:link w:val="701"/>
    <w:qFormat/>
    <w:pPr>
      <w:contextualSpacing/>
      <w:ind w:left="720"/>
    </w:pPr>
  </w:style>
  <w:style w:type="character" w:styleId="701" w:customStyle="1">
    <w:name w:val="Абзац списка Знак"/>
    <w:link w:val="700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702" w:customStyle="1">
    <w:name w:val="Сетка таблицы1"/>
    <w:basedOn w:val="694"/>
    <w:next w:val="703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"/>
    <w:basedOn w:val="694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4">
    <w:name w:val="annotation reference"/>
    <w:basedOn w:val="693"/>
    <w:uiPriority w:val="99"/>
    <w:semiHidden/>
    <w:unhideWhenUsed/>
    <w:rPr>
      <w:sz w:val="16"/>
      <w:szCs w:val="16"/>
    </w:rPr>
  </w:style>
  <w:style w:type="paragraph" w:styleId="705">
    <w:name w:val="annotation text"/>
    <w:basedOn w:val="686"/>
    <w:link w:val="706"/>
    <w:uiPriority w:val="99"/>
    <w:unhideWhenUsed/>
    <w:rPr>
      <w:sz w:val="20"/>
      <w:szCs w:val="20"/>
    </w:rPr>
  </w:style>
  <w:style w:type="character" w:styleId="706" w:customStyle="1">
    <w:name w:val="Текст примечания Знак"/>
    <w:basedOn w:val="693"/>
    <w:link w:val="705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707">
    <w:name w:val="annotation subject"/>
    <w:basedOn w:val="705"/>
    <w:next w:val="705"/>
    <w:link w:val="708"/>
    <w:uiPriority w:val="99"/>
    <w:semiHidden/>
    <w:unhideWhenUsed/>
    <w:rPr>
      <w:b/>
      <w:bCs/>
    </w:rPr>
  </w:style>
  <w:style w:type="character" w:styleId="708" w:customStyle="1">
    <w:name w:val="Тема примечания Знак"/>
    <w:basedOn w:val="706"/>
    <w:link w:val="707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709">
    <w:name w:val="Balloon Text"/>
    <w:basedOn w:val="686"/>
    <w:link w:val="710"/>
    <w:uiPriority w:val="99"/>
    <w:semiHidden/>
    <w:unhideWhenUsed/>
    <w:rPr>
      <w:rFonts w:ascii="Tahoma" w:hAnsi="Tahoma" w:cs="Tahoma"/>
      <w:sz w:val="16"/>
      <w:szCs w:val="16"/>
    </w:rPr>
  </w:style>
  <w:style w:type="character" w:styleId="710" w:customStyle="1">
    <w:name w:val="Текст выноски Знак"/>
    <w:basedOn w:val="693"/>
    <w:link w:val="709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711" w:customStyle="1">
    <w:name w:val="Default"/>
    <w:uiPriority w:val="99"/>
    <w:rPr>
      <w:rFonts w:eastAsia="Arial Unicode MS"/>
      <w:color w:val="000000"/>
    </w:rPr>
  </w:style>
  <w:style w:type="character" w:styleId="712" w:customStyle="1">
    <w:name w:val="Нет"/>
  </w:style>
  <w:style w:type="character" w:styleId="713" w:customStyle="1">
    <w:name w:val="Основной текст Знак1"/>
    <w:basedOn w:val="693"/>
    <w:link w:val="714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714">
    <w:name w:val="Body Text"/>
    <w:basedOn w:val="686"/>
    <w:link w:val="713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715" w:customStyle="1">
    <w:name w:val="Основной текст Знак"/>
    <w:basedOn w:val="693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716" w:customStyle="1">
    <w:name w:val="Заголовок 1 Знак"/>
    <w:basedOn w:val="693"/>
    <w:link w:val="687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17">
    <w:name w:val="footnote text"/>
    <w:basedOn w:val="686"/>
    <w:link w:val="718"/>
    <w:uiPriority w:val="99"/>
    <w:unhideWhenUsed/>
    <w:rPr>
      <w:sz w:val="20"/>
      <w:szCs w:val="20"/>
    </w:rPr>
  </w:style>
  <w:style w:type="character" w:styleId="718" w:customStyle="1">
    <w:name w:val="Текст сноски Знак"/>
    <w:basedOn w:val="693"/>
    <w:link w:val="717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719">
    <w:name w:val="footnote reference"/>
    <w:basedOn w:val="693"/>
    <w:uiPriority w:val="99"/>
    <w:semiHidden/>
    <w:unhideWhenUsed/>
    <w:rPr>
      <w:vertAlign w:val="superscript"/>
    </w:rPr>
  </w:style>
  <w:style w:type="character" w:styleId="720">
    <w:name w:val="Hyperlink"/>
    <w:basedOn w:val="693"/>
    <w:uiPriority w:val="99"/>
    <w:unhideWhenUsed/>
    <w:rPr>
      <w:color w:val="0563C1" w:themeColor="hyperlink"/>
      <w:u w:val="single"/>
    </w:rPr>
  </w:style>
  <w:style w:type="table" w:styleId="721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722" w:customStyle="1">
    <w:name w:val="Hyperlink.0"/>
    <w:basedOn w:val="712"/>
    <w:rPr>
      <w:rFonts w:ascii="Times New Roman" w:hAnsi="Times New Roman" w:cs="Times New Roman" w:eastAsia="Times New Roman"/>
      <w:sz w:val="24"/>
      <w:szCs w:val="24"/>
    </w:rPr>
  </w:style>
  <w:style w:type="character" w:styleId="723">
    <w:name w:val="FollowedHyperlink"/>
    <w:basedOn w:val="693"/>
    <w:uiPriority w:val="99"/>
    <w:semiHidden/>
    <w:unhideWhenUsed/>
    <w:rPr>
      <w:color w:val="954F72" w:themeColor="followedHyperlink"/>
      <w:u w:val="single"/>
    </w:rPr>
  </w:style>
  <w:style w:type="paragraph" w:styleId="724">
    <w:name w:val="Subtitle"/>
    <w:basedOn w:val="686"/>
    <w:next w:val="686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25" w:customStyle="1">
    <w:name w:val="StGen0"/>
    <w:basedOn w:val="72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StGen1"/>
    <w:basedOn w:val="72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StGen2"/>
    <w:basedOn w:val="72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StGen3"/>
    <w:basedOn w:val="72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29" w:customStyle="1">
    <w:name w:val="StGen4"/>
    <w:basedOn w:val="72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30" w:customStyle="1">
    <w:name w:val="StGen5"/>
    <w:basedOn w:val="721"/>
    <w:rPr>
      <w:rFonts w:eastAsia="Times New Roma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StGen6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2" w:customStyle="1">
    <w:name w:val="StGen7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3" w:customStyle="1">
    <w:name w:val="StGen8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4" w:customStyle="1">
    <w:name w:val="StGen9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5" w:customStyle="1">
    <w:name w:val="StGen10"/>
    <w:basedOn w:val="69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6" w:customStyle="1">
    <w:name w:val="StGen11"/>
    <w:basedOn w:val="69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7" w:customStyle="1">
    <w:name w:val="StGen12"/>
    <w:basedOn w:val="6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paragraph" w:styleId="738" w:customStyle="1">
    <w:name w:val="Абзац списка1"/>
    <w:basedOn w:val="686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739" w:customStyle="1">
    <w:name w:val="blk"/>
    <w:basedOn w:val="693"/>
  </w:style>
  <w:style w:type="paragraph" w:styleId="740">
    <w:name w:val="Revision"/>
    <w:hidden/>
    <w:uiPriority w:val="99"/>
    <w:semiHidden/>
    <w:rPr>
      <w:rFonts w:eastAsia="Arial Unicode MS"/>
      <w:lang w:val="en-US"/>
    </w:rPr>
  </w:style>
  <w:style w:type="table" w:styleId="741" w:customStyle="1">
    <w:name w:val="StGen13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2" w:customStyle="1">
    <w:name w:val="StGen14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3" w:customStyle="1">
    <w:name w:val="StGen15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4" w:customStyle="1">
    <w:name w:val="StGen16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5" w:customStyle="1">
    <w:name w:val="StGen17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6" w:customStyle="1">
    <w:name w:val="StGen18"/>
    <w:basedOn w:val="698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StGen19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8" w:customStyle="1">
    <w:name w:val="StGen20"/>
    <w:basedOn w:val="69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749" w:customStyle="1">
    <w:name w:val="Unresolved Mention"/>
    <w:basedOn w:val="693"/>
    <w:uiPriority w:val="99"/>
    <w:semiHidden/>
    <w:unhideWhenUsed/>
    <w:rPr>
      <w:color w:val="605E5C"/>
      <w:shd w:val="clear" w:color="auto" w:fill="e1dfdd"/>
    </w:rPr>
  </w:style>
  <w:style w:type="paragraph" w:styleId="750">
    <w:name w:val="Subtitle"/>
    <w:basedOn w:val="677"/>
    <w:next w:val="677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51">
    <w:name w:val="StGen21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2">
    <w:name w:val="StGen22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3">
    <w:name w:val="StGen23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4">
    <w:name w:val="StGen24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5">
    <w:name w:val="StGen25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6">
    <w:name w:val="StGen26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7">
    <w:name w:val="StGen27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8">
    <w:name w:val="StGen28"/>
    <w:basedOn w:val="69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9">
    <w:name w:val="StGen29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StGen30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StGen31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StGen32"/>
    <w:basedOn w:val="69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2021-08-26T09:46:00Z</dcterms:created>
  <dcterms:modified xsi:type="dcterms:W3CDTF">2022-05-25T11:46:03Z</dcterms:modified>
</cp:coreProperties>
</file>